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8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УТВЕРЖДАЮ</w:t>
      </w: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Директор ГБУК «Владимирская</w:t>
      </w:r>
    </w:p>
    <w:p w:rsid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областная научная библиотека»</w:t>
      </w:r>
    </w:p>
    <w:p w:rsidR="00DC29D3" w:rsidRPr="0020401E" w:rsidRDefault="00DC29D3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________________ Т.В.Брагина</w:t>
      </w: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01E">
        <w:rPr>
          <w:rFonts w:ascii="Times New Roman" w:hAnsi="Times New Roman" w:cs="Times New Roman"/>
          <w:sz w:val="24"/>
          <w:szCs w:val="24"/>
        </w:rPr>
        <w:t>«____» ____________ 2020 г.</w:t>
      </w:r>
    </w:p>
    <w:p w:rsidR="0020401E" w:rsidRPr="0020401E" w:rsidRDefault="0020401E" w:rsidP="00204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E28" w:rsidRPr="0020401E" w:rsidRDefault="00FB4E28" w:rsidP="002040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1E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по результатам проведения </w:t>
      </w:r>
      <w:r w:rsidRPr="0020401E">
        <w:rPr>
          <w:rFonts w:ascii="Times New Roman" w:hAnsi="Times New Roman" w:cs="Times New Roman"/>
          <w:b/>
          <w:sz w:val="24"/>
          <w:szCs w:val="24"/>
        </w:rPr>
        <w:br/>
        <w:t>экспертизы книжного памятника</w:t>
      </w:r>
    </w:p>
    <w:p w:rsidR="00FB4E28" w:rsidRPr="0020401E" w:rsidRDefault="00FB4E28" w:rsidP="002040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27F1F" w:rsidTr="00027F1F">
        <w:tc>
          <w:tcPr>
            <w:tcW w:w="4672" w:type="dxa"/>
          </w:tcPr>
          <w:p w:rsidR="00027F1F" w:rsidRDefault="00027F1F" w:rsidP="00E94F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34B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821EE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4673" w:type="dxa"/>
          </w:tcPr>
          <w:p w:rsidR="00027F1F" w:rsidRPr="005025C8" w:rsidRDefault="00027F1F" w:rsidP="005025C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20401E" w:rsidRPr="0020401E" w:rsidRDefault="0020401E" w:rsidP="002040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28" w:rsidRDefault="0012783D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4E28" w:rsidRPr="0020401E">
        <w:rPr>
          <w:rFonts w:ascii="Times New Roman" w:hAnsi="Times New Roman" w:cs="Times New Roman"/>
          <w:sz w:val="24"/>
          <w:szCs w:val="24"/>
        </w:rPr>
        <w:t xml:space="preserve">Экспертный совет </w:t>
      </w:r>
      <w:r w:rsidR="0020401E" w:rsidRPr="0020401E">
        <w:rPr>
          <w:rFonts w:ascii="Times New Roman" w:hAnsi="Times New Roman" w:cs="Times New Roman"/>
          <w:sz w:val="24"/>
          <w:szCs w:val="24"/>
        </w:rPr>
        <w:t>ГБУК «Владимирская областная научная библиотека»</w:t>
      </w:r>
      <w:r w:rsidR="00FB4E28" w:rsidRPr="0020401E">
        <w:rPr>
          <w:rFonts w:ascii="Times New Roman" w:hAnsi="Times New Roman" w:cs="Times New Roman"/>
          <w:sz w:val="24"/>
          <w:szCs w:val="24"/>
        </w:rPr>
        <w:t xml:space="preserve">, созданный приказом от </w:t>
      </w:r>
      <w:r w:rsidR="0020401E" w:rsidRPr="0020401E">
        <w:rPr>
          <w:rFonts w:ascii="Times New Roman" w:hAnsi="Times New Roman" w:cs="Times New Roman"/>
          <w:sz w:val="24"/>
          <w:szCs w:val="24"/>
        </w:rPr>
        <w:t>24.07.20520</w:t>
      </w:r>
      <w:r w:rsidR="00FB4E28" w:rsidRPr="0020401E">
        <w:rPr>
          <w:rFonts w:ascii="Times New Roman" w:hAnsi="Times New Roman" w:cs="Times New Roman"/>
          <w:sz w:val="24"/>
          <w:szCs w:val="24"/>
        </w:rPr>
        <w:t xml:space="preserve"> № </w:t>
      </w:r>
      <w:r w:rsidR="0020401E" w:rsidRPr="0020401E">
        <w:rPr>
          <w:rFonts w:ascii="Times New Roman" w:hAnsi="Times New Roman" w:cs="Times New Roman"/>
          <w:sz w:val="24"/>
          <w:szCs w:val="24"/>
        </w:rPr>
        <w:t>74/14-ос</w:t>
      </w:r>
      <w:r w:rsidR="00FB4E28" w:rsidRPr="0020401E">
        <w:rPr>
          <w:rFonts w:ascii="Times New Roman" w:hAnsi="Times New Roman" w:cs="Times New Roman"/>
          <w:sz w:val="24"/>
          <w:szCs w:val="24"/>
        </w:rPr>
        <w:t xml:space="preserve">, рассмотрел представленный на экспертизу на основании заявки на отнесение к книжным памятникам от </w:t>
      </w:r>
      <w:r w:rsidR="00E94F83">
        <w:rPr>
          <w:rFonts w:ascii="Times New Roman" w:hAnsi="Times New Roman" w:cs="Times New Roman"/>
          <w:sz w:val="24"/>
          <w:szCs w:val="24"/>
        </w:rPr>
        <w:t>24</w:t>
      </w:r>
      <w:r w:rsidR="00FE2FF1">
        <w:rPr>
          <w:rFonts w:ascii="Times New Roman" w:hAnsi="Times New Roman" w:cs="Times New Roman"/>
          <w:sz w:val="24"/>
          <w:szCs w:val="24"/>
        </w:rPr>
        <w:t xml:space="preserve">.11.2020 </w:t>
      </w:r>
      <w:r w:rsidR="00FB4E28" w:rsidRPr="0020401E">
        <w:rPr>
          <w:rFonts w:ascii="Times New Roman" w:hAnsi="Times New Roman" w:cs="Times New Roman"/>
          <w:sz w:val="24"/>
          <w:szCs w:val="24"/>
        </w:rPr>
        <w:t xml:space="preserve"> № </w:t>
      </w:r>
      <w:r w:rsidR="00AF4B73" w:rsidRPr="00AF4B73">
        <w:rPr>
          <w:rFonts w:ascii="Times New Roman" w:hAnsi="Times New Roman" w:cs="Times New Roman"/>
          <w:sz w:val="24"/>
          <w:szCs w:val="24"/>
        </w:rPr>
        <w:t>4</w:t>
      </w:r>
      <w:r w:rsidR="0020401E" w:rsidRPr="0020401E">
        <w:rPr>
          <w:rFonts w:ascii="Times New Roman" w:hAnsi="Times New Roman" w:cs="Times New Roman"/>
          <w:sz w:val="24"/>
          <w:szCs w:val="24"/>
        </w:rPr>
        <w:t xml:space="preserve"> </w:t>
      </w:r>
      <w:r w:rsidR="00FB4E28" w:rsidRPr="0020401E">
        <w:rPr>
          <w:rFonts w:ascii="Times New Roman" w:hAnsi="Times New Roman" w:cs="Times New Roman"/>
          <w:sz w:val="24"/>
          <w:szCs w:val="24"/>
        </w:rPr>
        <w:t>документ</w:t>
      </w:r>
      <w:r w:rsidR="0020401E" w:rsidRPr="0020401E">
        <w:rPr>
          <w:rFonts w:ascii="Times New Roman" w:hAnsi="Times New Roman" w:cs="Times New Roman"/>
          <w:sz w:val="24"/>
          <w:szCs w:val="24"/>
        </w:rPr>
        <w:t>ы</w:t>
      </w:r>
      <w:r w:rsidR="00FB4E28" w:rsidRPr="0020401E">
        <w:rPr>
          <w:rFonts w:ascii="Times New Roman" w:hAnsi="Times New Roman" w:cs="Times New Roman"/>
          <w:sz w:val="24"/>
          <w:szCs w:val="24"/>
        </w:rPr>
        <w:t>:</w:t>
      </w:r>
    </w:p>
    <w:p w:rsidR="0012783D" w:rsidRPr="0020401E" w:rsidRDefault="0012783D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18" w:type="pct"/>
        <w:tblLayout w:type="fixed"/>
        <w:tblLook w:val="04A0"/>
      </w:tblPr>
      <w:tblGrid>
        <w:gridCol w:w="847"/>
        <w:gridCol w:w="1433"/>
        <w:gridCol w:w="7325"/>
      </w:tblGrid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Default="0020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 документа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9F256E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1011460OB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9F256E" w:rsidP="008522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Григорович-Барский, 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В.Г.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Пешеходца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Василия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Григоровича-Барскаго-Плаки-Албова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уроженца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Киевскаго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монаха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антиохийскаго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Путешествие к святым местам, в Европе, Азии и Африке находящимся: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Предпринятое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1723,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окончанное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1747 году / Им самим писанное. —</w:t>
            </w:r>
            <w:r w:rsidR="00852295"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Ч. 2: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Содержащая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себе странствование его с 1735 по 1747 год.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Иждивением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Императрской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Академии наук, 1800. — [2], 415-796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.; 4°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9F256E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1011460OB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9F256E" w:rsidP="008522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Григорович-Барский, В. 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>.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Пешеходца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Василия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Григоровича-Барскаго-Плаки-Албова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уроженца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Киевскаго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монаха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антиохийскаго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Путешествие к святым местам, в Европе, Азии и Африке находящимся: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Предпринятое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1723,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окончанное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1747 году / Им самим писанное. Ч. 1: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Содержащая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себе странствование его с 1723 по 1735 год.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Иждивением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Императрской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Академии наук, 1800. — XII, 411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.; 4°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9F256E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400378OM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9F256E" w:rsidP="009F25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Детская книга, или 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общия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мнения и изъяснение вещей, коим детей обучать должно</w:t>
            </w:r>
            <w:r w:rsidRPr="00FA13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=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Le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livre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des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enfants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ou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idées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générales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et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définitions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des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choses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dont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les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enfants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doivent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être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instruits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Весьма полезное дело для тех, коим воспитание детей вверено. — В Москве: Печатана при  императорском Московском Университете, 1770. — [26], 1-120. 120-209 [=210] с.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;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12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52295" w:rsidP="009F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43752O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52295" w:rsidP="008522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Джонстон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Ч.</w:t>
            </w:r>
            <w:r w:rsidR="00D000AB"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Пильгрим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то есть по обещанию странствующий, или Картина жизни: письма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сочиненныя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аглинском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языке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Джонстон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Ч.; Перевел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немецкаго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российской Н... Н....  Ч. 2. — В Москве: В Университетской типографии у Н. Новикова, 1783. — 309 с.; 8°</w:t>
            </w:r>
          </w:p>
        </w:tc>
      </w:tr>
      <w:tr w:rsidR="0020401E" w:rsidTr="00E94F83">
        <w:trPr>
          <w:trHeight w:val="110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5229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64038O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52295" w:rsidP="008522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Джонстон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Ч.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Пильгрим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то есть по обещанию странствующий, или Картина жизни: Письма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сочиненныя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аглинском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языке; Перевел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немецкаго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российской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Н... Н.... Ч. 1. — В Москве: В Университетской типографии у Н. Новикова, 1783. — 333 с.;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5229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43092O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5A" w:rsidRPr="00FA1327" w:rsidRDefault="00852295" w:rsidP="008522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Новоизобретенной забавной способ, выучиться шутя многим словам на разных языках без азбуки, грамматики и лексикона, или Собрание многих иностранных слов имеющих с российскими 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одинакой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выговор, но 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озн</w:t>
            </w:r>
            <w:proofErr w:type="gram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[</w:t>
            </w:r>
            <w:proofErr w:type="spellStart"/>
            <w:proofErr w:type="gram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ча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]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ющих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со всем 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различныя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вещи и предметы</w:t>
            </w:r>
            <w:r w:rsidRPr="00FA1327">
              <w:rPr>
                <w:rFonts w:ascii="Times New Roman" w:hAnsi="Times New Roman" w:cs="Times New Roman"/>
                <w:b/>
                <w:sz w:val="23"/>
                <w:szCs w:val="23"/>
              </w:rPr>
              <w:t>. —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печатано в Императорской типографии, 1791. — 28 с.;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52295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43092O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52295" w:rsidP="008522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Лем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И. М.</w:t>
            </w:r>
            <w:r w:rsidR="00D000AB"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Опыт городовым и сельским строениям или Руководство к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основательному знанию производить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всякаго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рода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строении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= Руководство к основательному знанию производить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всякаго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рода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строении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Сочиненное архитектором Иваном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Лемом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привиллегированной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типографии у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Вильковскаго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Галченкова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, 1785. — [6], 93, [1] с., [3] л. черт.;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463C7A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43092O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52295" w:rsidP="00463C7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Гильяр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д'Обертей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М.Р.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Мис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Макреа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Сочинен г.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Гилльярдом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д'Овертелем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; А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французскаго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российской перевел Илья Раевской.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— В Москве: В Типографии Компании Типографической,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указнаго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дозволения, 1791. — 94 с.;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463C7A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64976O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463C7A" w:rsidP="00463C7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Гельтергоф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Ф.</w:t>
            </w:r>
            <w:r w:rsidR="00D000AB"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Российской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Целлариус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или этимологической российской лексикон, купно с прибавлением иностранных в российском языке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употребление принятых слов,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також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 сокращенною российскою этимологиею =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Der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Russische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Cellarius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oder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etymologisches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russisches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Wörterbuch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nebst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einem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Anhange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von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ausländischen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der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russischen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Sprache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angenommenen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Wörter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desgleichen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einer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kurzgefafsten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russischen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Etymologie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ans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Licht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gestellt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von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M.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Franciscus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Hölterhof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der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deutschen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Sprache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Lector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bey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der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Kaiserlichen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Universität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zu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Moskau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/ Изданный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М[</w:t>
            </w:r>
            <w:proofErr w:type="spellStart"/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агистром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] Франциском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Гелтергофом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немецкаго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 лектором в Императорском Московском университете. — В Москве: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Печатан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при Императорском Московском университете, 1771. — [16], 656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463C7A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42786O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463C7A" w:rsidP="00463C7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Голиков, И. И.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Дополнение к Деяниям Петра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Великаго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— Москва: В Университетской типографии, у В.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Окорокова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, 1790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Москва: В Университетской типографии, у В.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Окорокова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1790. — [6], XX, 3-430, [2]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463C7A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64121O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463C7A" w:rsidP="00463C7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Гауб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И. Д.</w:t>
            </w:r>
            <w:r w:rsidR="00D000AB"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Начальныя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основания врачебной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пафологии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то есть Науки о свойстве, причинах, припадках и различиях болезней, в человеческом теле случающихся,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сочиненныя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безсмертныя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славы мужем,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Лейденския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Академии Профессором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Г.Д.Гаубием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Российский язык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преложенныя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Надворным Советником,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Хирургическаго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училища Профессором и Доктором Петром Гофманом с одобрения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Государственой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Медицинской Коллегии / И. Д.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Гауб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пер. Петр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Мартынович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Гофман.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При Императорской Академии Наук, 1792. — [6], 472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43184O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Геродот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Повествования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Иродота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Аликарнасскаго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; Перевел Андрей Нартов.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—Т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1.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при Императорской Академии наук, 1763. — [12], 402, [2] с.;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64063O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Гёльтергоф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Ф.</w:t>
            </w:r>
            <w:r w:rsidR="00FA1327"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Немецкая грамматика, в которой не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токмо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все части речи или произведение слов, но и синтаксис или сочинение слов, оба надлежащими примерами объяснены, / в пользу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российскаго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юношества издана учителем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немецкаго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языка, в Московском Императорском университете. — [Лейпциг]: [б. и.], 1791. — [6], 360 с.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;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1077151O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="00FA1327"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философа,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составленныя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6. — В Москве: В Университетской типографии у Н. Новикова, 1780. — [8], 278 с.;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1077151O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="00FA1327"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философа,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составленныя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5. — В Москве: В Университетской типографии у Н. Новикова, 1780. — [7], 272 с.;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43221O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="00FA1327"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философа,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составленныя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6. — В Москве: В Университетской типографии у Н. Новикова, 1780. — [8], 278 с.; 8°</w:t>
            </w:r>
          </w:p>
        </w:tc>
      </w:tr>
      <w:tr w:rsidR="0020401E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E" w:rsidRPr="00FA1327" w:rsidRDefault="0020401E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43221O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E" w:rsidRPr="00FA1327" w:rsidRDefault="008647F4" w:rsidP="008647F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философа,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составленныя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5. — В Москве: В Университетской типографии у Н. Новикова, 1780. — [7], 272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43186O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8647F4">
            <w:pP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философа,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составленныя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6. — В Москве: В Университетской типографии у Н. Новикова, 1780. — [8], 278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43186O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8647F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философа,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составленныя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5. — В Москве: В Университетской типографии у Н. Новикова, 1780. — [7], 272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64159O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8647F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философа,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составленныя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В 3 и 4 частях показывается, каким образом Великие Государи и Князи с супругами поступать, и детей своих воспитывать и наставлять должны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4. — В Москве: В Университетской типографии у Н. Новикова, 1780. — [4], 1-199, 300-419 [=319]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64159O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28" w:rsidRPr="00FA1327" w:rsidRDefault="008647F4" w:rsidP="008647F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="00FA1327"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философа,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составленныя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В 3 и 4 частях показывается, каким образом Великие Государи и Князи с супругами поступать, и детей своих воспитывать и наставлять должны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языка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3. — В Москве: В Университетской типографии у Н. Новикова, 1780. — [4], 296с.;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5D7DCD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64026O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8647F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 / от Антония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Гвевара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епископа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Аквитанскаго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бывшаго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при Карле V. Император Проповедником, Советником и Историком составленные;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российский язык перевел Андрей Львов.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—Ч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2. — В Москве: В Университетской типографии у Н. Новикова, 1782. — [4], 223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5D7DCD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64026O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8647F4" w:rsidP="005D7DCD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Золотые часы государей, по образу жития 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Аврелия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Севера,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славнейшаго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императора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премудрейшаго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философа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Гевара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российский язык перевел Андрей Львов</w:t>
            </w:r>
            <w:r w:rsidR="005D7DCD"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—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Ч. 1. — В Москве: В Университетской типографии у Н. Новикова, 1781. — [12], LXXXVIII, 248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C17ABA" w:rsidP="0086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43619O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C17ABA" w:rsidP="00C17A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Вольтер, Ф. М.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сокращенная о смерти Жана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Каласа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и о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Каласах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вообще,: С приобщением к тому разных писем, представлений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прочаго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из творений г.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Волтера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/ Перевел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французскаго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Ефим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Рознотовской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при Императорской Академии наук, 1788. — 179, [1] с. 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C17ABA" w:rsidP="00C1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973566OM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C17ABA" w:rsidP="00C17A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Холл, Д.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Иосифа Галла, епископа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Оксфортскаго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Внезапныя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размышления,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произведенныя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вдруг при воззрении на какую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нибудь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вещь / Дж. Холл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;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перевод с латинского М.К.. — В Москве: В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Типографии Компании Типографической,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указнаго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дозволения, 1786. — [8], 197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BB30E4" w:rsidP="00C1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43456O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BB30E4" w:rsidP="00BB30E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Гауб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И. Д.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Начальныя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основания врачебной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пафологии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то есть Науки о свойстве, причинах, припадках и различиях болезней, в человеческом теле случающихся,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сочиненныя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безсмертныя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славы мужем,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Лейденския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Академии Профессором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Г.Д.Гаубием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Латинскаго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Российский язык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преложенныя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Надворным Советником,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Хирургическаго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училища Профессором и Доктором Петром Гофманом с одобрения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Государственой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Медицинской Коллегии / И. Д.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Гауб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пер. Петр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Мартынович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Гофман.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При Императорской Академии Наук, 1792. — [6], 472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.; 8°</w:t>
            </w:r>
          </w:p>
        </w:tc>
      </w:tr>
      <w:tr w:rsidR="008D22A0" w:rsidRPr="00640A25" w:rsidTr="00FA1327">
        <w:trPr>
          <w:trHeight w:val="116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BB30E4" w:rsidP="00C1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64972O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BB30E4" w:rsidP="00BB30E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Витрувий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П.М.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Марка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Витрувия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Поллиона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об архитектуре, книга первая и вторая; с примечаниями Доктора Медицины и Французской Академии члена г. Перо.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При Императорской Академии наук, 1790. — [2], 230 с., : 12 л. ил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черт; 1 л. табл.; 4°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BB30E4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63721O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BB30E4" w:rsidP="00BB30E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Бюшинг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А. Ф.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Асия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 Аравия: из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Бишинговой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географии /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Бюшинг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А. Ф.; с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немецкаго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на российской язык переведена Фомою Яновским.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при Императорской Академии наук, 1778. — [2], 780, [3]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BB30E4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42725O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BB30E4" w:rsidP="00BB30E4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Вольтер, Ф. М.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Генрияда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героическая поема в десяти песнях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очинение г.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Волтера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;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Преложенная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российскими белыми стихами капитаном Яковом Княжниным.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при Императорской Академии наук, 1777. — [10], 170 с.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;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4°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76201C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63303O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76201C" w:rsidP="00AF49B0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Введение в географию,</w:t>
            </w:r>
            <w:r w:rsidRPr="00FA1327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служащее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ко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изъяснению всех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ландкарт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земнаго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шара с государственными гербами, и описание сферы с толкованием оной,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ея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кругов, движения звезд, древних и новых систем света и употребления глобусов и мер географических с фигурами. — [Москва]: Печатано при Императорском Московском Университете, 1771. — [16], 352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.: 29 л. ил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карт.; 8°</w:t>
            </w:r>
          </w:p>
        </w:tc>
      </w:tr>
      <w:tr w:rsidR="008D22A0" w:rsidRPr="00640A25" w:rsidTr="00FA1327">
        <w:trPr>
          <w:trHeight w:val="147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DB452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43887O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76201C" w:rsidP="0076201C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Бриссон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Б.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Варнавы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Бриссония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главнаго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Париже сенатора, о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Перском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царстве. / Б.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Бриссон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Переведена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сухопутного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шляхетнаго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кадетскаго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корпуса учителем,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капитанскаго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ранга, Иваном Алексеевым. — Ч.3: О военном деле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персидскаго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государства. — В Москве: В Университетской типографии у Н. Новикова, 1781. — [2], 238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031CA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43887O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DB452B" w:rsidP="00DB452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Бриссон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, Б.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Варнавы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Бриссония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главнаго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 Париже сенатора, о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Перском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царстве. / Б.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Бриссон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Переведена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сухопутного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шляхетнаго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кадетскаго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корпуса учителем,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капитанскаго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ранга, Иваном Алексеевым. — Ч.2: О богослужении, законах, и обыкновениях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перских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. — В Москве: В Университетской типографии у Н. Новикова, 1781. — [2], 398 с.; 8°</w:t>
            </w:r>
          </w:p>
        </w:tc>
      </w:tr>
      <w:tr w:rsidR="008D22A0" w:rsidRPr="00640A25" w:rsidTr="00FA1327">
        <w:trPr>
          <w:trHeight w:val="137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031CA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42584O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031CAB" w:rsidP="00031CAB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Вольтер, Ф.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Собрание сочинений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Волтера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Служащее продолжением прежде изданного перевода под названием Аллегорических, Философических и критических его же сочинений / Вольтер Ф.; [издатель и переводчик И. Рахманинов] Ч.1.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: Типография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Вильковского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Галченкова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, 1785. — [3], 286, [5]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1A7360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63635O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1A7360" w:rsidP="001A7360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Вергилий, П.</w:t>
            </w:r>
            <w:r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О первых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изобретателех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всех вещей / П. Вергилий; [Перевел И.Н.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Тредьяковский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Ч.2.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— Москва: Унив. тип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у Н. Новикова, 1782. — [11], 1-239, 204-347 [=383] с.; 8°</w:t>
            </w:r>
          </w:p>
        </w:tc>
      </w:tr>
      <w:tr w:rsidR="008D22A0" w:rsidRPr="00640A25" w:rsidTr="00FA1327">
        <w:trPr>
          <w:trHeight w:val="12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A50321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63543O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A50321" w:rsidP="00A50321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Бюшинг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А. Ф.</w:t>
            </w:r>
            <w:r w:rsidR="00FA1327" w:rsidRPr="00FA1327">
              <w:rPr>
                <w:rStyle w:val="ac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Королевство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Аглинское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или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Великобританния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 Ирландия. / Из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Бишинговой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географии перевел Григорий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Брайко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при Императорской Академии наук, 1772. — [2], 339, [1]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A50321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64174O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A50321" w:rsidP="00A50321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Брийон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, П. Ж. </w:t>
            </w:r>
            <w:proofErr w:type="spell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оследование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Характеров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Феофрастовых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 Мыслей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Паскалевых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; Переведено в подмосковной 1782 года [Алексеем 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Сергеевым]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Иждивением Н. Новикова и Компании. — Москва: Унив. тип</w:t>
            </w:r>
            <w:proofErr w:type="gram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у Н. Новикова, 1784. — [4], 404 с.; 8°</w:t>
            </w:r>
          </w:p>
        </w:tc>
      </w:tr>
      <w:tr w:rsidR="008D22A0" w:rsidRPr="00640A25" w:rsidTr="00D000AB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A0" w:rsidRPr="00FA1327" w:rsidRDefault="008D22A0" w:rsidP="0020401E">
            <w:pPr>
              <w:pStyle w:val="a3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D000AB" w:rsidP="0085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63391O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A0" w:rsidRPr="00FA1327" w:rsidRDefault="00FB0311" w:rsidP="00FB0311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Боярдо</w:t>
            </w:r>
            <w:proofErr w:type="spellEnd"/>
            <w:r w:rsidRPr="00FA1327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М. М. В</w:t>
            </w:r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любленной Роланд / М.М.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Боярдо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; [Перевел с французского Я.И.Булгаков Ч.1.</w:t>
            </w:r>
            <w:proofErr w:type="gram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 xml:space="preserve"> — В </w:t>
            </w:r>
            <w:proofErr w:type="spellStart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Санктпетербурге</w:t>
            </w:r>
            <w:proofErr w:type="spellEnd"/>
            <w:r w:rsidRPr="00FA1327">
              <w:rPr>
                <w:rFonts w:ascii="Times New Roman" w:hAnsi="Times New Roman" w:cs="Times New Roman"/>
                <w:sz w:val="23"/>
                <w:szCs w:val="23"/>
              </w:rPr>
              <w:t>: в Императорской типографии, 1799. — X, 346 с.; 12°</w:t>
            </w:r>
          </w:p>
        </w:tc>
      </w:tr>
    </w:tbl>
    <w:p w:rsidR="00400C6E" w:rsidRPr="00640A25" w:rsidRDefault="00400C6E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01E" w:rsidRPr="00640A25" w:rsidRDefault="0020401E" w:rsidP="0020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28" w:rsidRPr="007274B6" w:rsidRDefault="0012783D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2. </w:t>
      </w:r>
      <w:r w:rsidR="00FB4E28" w:rsidRPr="007274B6">
        <w:rPr>
          <w:rFonts w:ascii="Times New Roman" w:hAnsi="Times New Roman" w:cs="Times New Roman"/>
          <w:sz w:val="24"/>
          <w:szCs w:val="24"/>
        </w:rPr>
        <w:t>Место хранения документ</w:t>
      </w:r>
      <w:r w:rsidRPr="007274B6">
        <w:rPr>
          <w:rFonts w:ascii="Times New Roman" w:hAnsi="Times New Roman" w:cs="Times New Roman"/>
          <w:sz w:val="24"/>
          <w:szCs w:val="24"/>
        </w:rPr>
        <w:t>ов</w:t>
      </w:r>
      <w:r w:rsidR="00FB4E28" w:rsidRPr="007274B6">
        <w:rPr>
          <w:rFonts w:ascii="Times New Roman" w:hAnsi="Times New Roman" w:cs="Times New Roman"/>
          <w:sz w:val="24"/>
          <w:szCs w:val="24"/>
        </w:rPr>
        <w:t>:</w:t>
      </w:r>
    </w:p>
    <w:p w:rsidR="00FB4E28" w:rsidRPr="007274B6" w:rsidRDefault="0012783D" w:rsidP="001278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4B6">
        <w:rPr>
          <w:rFonts w:ascii="Times New Roman" w:hAnsi="Times New Roman" w:cs="Times New Roman"/>
          <w:b/>
          <w:sz w:val="24"/>
          <w:szCs w:val="24"/>
        </w:rPr>
        <w:t>Отдел хранения основных фондов. Сектор редкой книги</w:t>
      </w:r>
    </w:p>
    <w:p w:rsidR="0012783D" w:rsidRPr="007274B6" w:rsidRDefault="0012783D" w:rsidP="001278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4E28" w:rsidRPr="007274B6" w:rsidRDefault="0012783D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3. </w:t>
      </w:r>
      <w:r w:rsidR="00FB4E28" w:rsidRPr="007274B6">
        <w:rPr>
          <w:rFonts w:ascii="Times New Roman" w:hAnsi="Times New Roman" w:cs="Times New Roman"/>
          <w:sz w:val="24"/>
          <w:szCs w:val="24"/>
        </w:rPr>
        <w:t>Обоснование отнесения документа к книжным памятникам:</w:t>
      </w:r>
    </w:p>
    <w:p w:rsidR="00400C6E" w:rsidRPr="007274B6" w:rsidRDefault="00400C6E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28" w:rsidRPr="007274B6" w:rsidRDefault="00FB4E28" w:rsidP="001278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>На основании хронологических критериев:</w:t>
      </w:r>
    </w:p>
    <w:p w:rsidR="0012783D" w:rsidRPr="007274B6" w:rsidRDefault="00FB4E28" w:rsidP="00400C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B6">
        <w:rPr>
          <w:rFonts w:ascii="Times New Roman" w:hAnsi="Times New Roman" w:cs="Times New Roman"/>
          <w:b/>
          <w:sz w:val="24"/>
          <w:szCs w:val="24"/>
        </w:rPr>
        <w:t>экземпляр отечественного издания, выпущенного до 1830 года включительно</w:t>
      </w:r>
      <w:r w:rsidR="0012783D" w:rsidRPr="007274B6">
        <w:rPr>
          <w:rFonts w:ascii="Times New Roman" w:hAnsi="Times New Roman" w:cs="Times New Roman"/>
          <w:b/>
          <w:sz w:val="24"/>
          <w:szCs w:val="24"/>
        </w:rPr>
        <w:t>.</w:t>
      </w:r>
    </w:p>
    <w:p w:rsidR="0012783D" w:rsidRPr="007274B6" w:rsidRDefault="0012783D" w:rsidP="001278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28" w:rsidRPr="007274B6" w:rsidRDefault="0012783D" w:rsidP="001278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4. </w:t>
      </w:r>
      <w:r w:rsidR="00FB4E28" w:rsidRPr="007274B6">
        <w:rPr>
          <w:rFonts w:ascii="Times New Roman" w:hAnsi="Times New Roman" w:cs="Times New Roman"/>
          <w:sz w:val="24"/>
          <w:szCs w:val="24"/>
        </w:rPr>
        <w:t>Выводы:</w:t>
      </w:r>
    </w:p>
    <w:p w:rsidR="00FB4E28" w:rsidRPr="007274B6" w:rsidRDefault="00FB4E28" w:rsidP="0020401E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C6E" w:rsidRPr="007274B6" w:rsidRDefault="0012783D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4.1 </w:t>
      </w:r>
      <w:r w:rsidR="00FB4E28" w:rsidRPr="007274B6">
        <w:rPr>
          <w:rFonts w:ascii="Times New Roman" w:hAnsi="Times New Roman" w:cs="Times New Roman"/>
          <w:sz w:val="24"/>
          <w:szCs w:val="24"/>
        </w:rPr>
        <w:t xml:space="preserve">Соответствует ли представленный документ понятию «книжный памятник», указанному в абзаце девятом статьи 1 ФЗ №78-ФЗ «О библиотечном деле»: </w:t>
      </w:r>
    </w:p>
    <w:p w:rsidR="00356FFF" w:rsidRPr="007274B6" w:rsidRDefault="00FB4E28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B6">
        <w:rPr>
          <w:rFonts w:ascii="Times New Roman" w:hAnsi="Times New Roman" w:cs="Times New Roman"/>
          <w:b/>
          <w:sz w:val="24"/>
          <w:szCs w:val="24"/>
        </w:rPr>
        <w:t>Да.</w:t>
      </w:r>
    </w:p>
    <w:p w:rsidR="00400C6E" w:rsidRPr="007274B6" w:rsidRDefault="00400C6E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28" w:rsidRPr="0020401E" w:rsidRDefault="00356FFF" w:rsidP="00356FF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4B6">
        <w:rPr>
          <w:rFonts w:ascii="Times New Roman" w:hAnsi="Times New Roman" w:cs="Times New Roman"/>
          <w:sz w:val="24"/>
          <w:szCs w:val="24"/>
        </w:rPr>
        <w:t xml:space="preserve">4.2. </w:t>
      </w:r>
      <w:r w:rsidR="00FB4E28" w:rsidRPr="007274B6">
        <w:rPr>
          <w:rFonts w:ascii="Times New Roman" w:hAnsi="Times New Roman" w:cs="Times New Roman"/>
          <w:sz w:val="24"/>
          <w:szCs w:val="24"/>
        </w:rPr>
        <w:t xml:space="preserve">Рекомендован ли документ, отнесенный к книжному памятнику, к размещению в НЭБ: </w:t>
      </w:r>
      <w:r w:rsidR="00FB4E28" w:rsidRPr="007274B6">
        <w:rPr>
          <w:rFonts w:ascii="Times New Roman" w:hAnsi="Times New Roman" w:cs="Times New Roman"/>
          <w:b/>
          <w:sz w:val="24"/>
          <w:szCs w:val="24"/>
        </w:rPr>
        <w:t>Да.</w:t>
      </w:r>
    </w:p>
    <w:p w:rsidR="00356FFF" w:rsidRDefault="00356FFF" w:rsidP="0020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742_787980517"/>
    </w:p>
    <w:tbl>
      <w:tblPr>
        <w:tblStyle w:val="a5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981"/>
        <w:gridCol w:w="2127"/>
      </w:tblGrid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1E">
              <w:rPr>
                <w:rFonts w:ascii="Times New Roman" w:hAnsi="Times New Roman" w:cs="Times New Roman"/>
                <w:sz w:val="24"/>
                <w:szCs w:val="24"/>
              </w:rPr>
              <w:t>Председатель Экспертного совета: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Сдобникова М.Ю.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Гречиха Н.В.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совета: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М.И.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 Л.В.</w:t>
            </w:r>
          </w:p>
        </w:tc>
      </w:tr>
      <w:tr w:rsidR="00E925A5" w:rsidTr="00E925A5">
        <w:tc>
          <w:tcPr>
            <w:tcW w:w="4253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A5" w:rsidRDefault="00E925A5" w:rsidP="00E9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Шестернина Т.Б.</w:t>
            </w:r>
          </w:p>
        </w:tc>
      </w:tr>
      <w:bookmarkEnd w:id="0"/>
    </w:tbl>
    <w:p w:rsidR="005437DD" w:rsidRPr="0020401E" w:rsidRDefault="005437DD" w:rsidP="0040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7DD" w:rsidRPr="0020401E" w:rsidSect="00B237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F4" w:rsidRDefault="008647F4" w:rsidP="00503594">
      <w:pPr>
        <w:spacing w:after="0" w:line="240" w:lineRule="auto"/>
      </w:pPr>
      <w:r>
        <w:separator/>
      </w:r>
    </w:p>
  </w:endnote>
  <w:endnote w:type="continuationSeparator" w:id="0">
    <w:p w:rsidR="008647F4" w:rsidRDefault="008647F4" w:rsidP="0050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576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647F4" w:rsidRPr="00503594" w:rsidRDefault="008647F4" w:rsidP="00503594">
        <w:pPr>
          <w:pStyle w:val="a8"/>
          <w:jc w:val="right"/>
          <w:rPr>
            <w:rFonts w:ascii="Times New Roman" w:hAnsi="Times New Roman" w:cs="Times New Roman"/>
          </w:rPr>
        </w:pPr>
        <w:r w:rsidRPr="00503594">
          <w:rPr>
            <w:rFonts w:ascii="Times New Roman" w:hAnsi="Times New Roman" w:cs="Times New Roman"/>
          </w:rPr>
          <w:fldChar w:fldCharType="begin"/>
        </w:r>
        <w:r w:rsidRPr="00503594">
          <w:rPr>
            <w:rFonts w:ascii="Times New Roman" w:hAnsi="Times New Roman" w:cs="Times New Roman"/>
          </w:rPr>
          <w:instrText>PAGE   \* MERGEFORMAT</w:instrText>
        </w:r>
        <w:r w:rsidRPr="00503594">
          <w:rPr>
            <w:rFonts w:ascii="Times New Roman" w:hAnsi="Times New Roman" w:cs="Times New Roman"/>
          </w:rPr>
          <w:fldChar w:fldCharType="separate"/>
        </w:r>
        <w:r w:rsidR="00E94F83">
          <w:rPr>
            <w:rFonts w:ascii="Times New Roman" w:hAnsi="Times New Roman" w:cs="Times New Roman"/>
            <w:noProof/>
          </w:rPr>
          <w:t>1</w:t>
        </w:r>
        <w:r w:rsidRPr="0050359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F4" w:rsidRDefault="008647F4" w:rsidP="00503594">
      <w:pPr>
        <w:spacing w:after="0" w:line="240" w:lineRule="auto"/>
      </w:pPr>
      <w:r>
        <w:separator/>
      </w:r>
    </w:p>
  </w:footnote>
  <w:footnote w:type="continuationSeparator" w:id="0">
    <w:p w:rsidR="008647F4" w:rsidRDefault="008647F4" w:rsidP="0050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26523F"/>
    <w:multiLevelType w:val="hybridMultilevel"/>
    <w:tmpl w:val="E2BCC6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AD76EC7"/>
    <w:multiLevelType w:val="hybridMultilevel"/>
    <w:tmpl w:val="1068D910"/>
    <w:lvl w:ilvl="0" w:tplc="9DAC7A4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66455"/>
    <w:multiLevelType w:val="multilevel"/>
    <w:tmpl w:val="BC7219E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E28"/>
    <w:rsid w:val="00027F1F"/>
    <w:rsid w:val="00031CAB"/>
    <w:rsid w:val="000D205F"/>
    <w:rsid w:val="000E72E0"/>
    <w:rsid w:val="0012783D"/>
    <w:rsid w:val="00170CF1"/>
    <w:rsid w:val="001A508D"/>
    <w:rsid w:val="001A7360"/>
    <w:rsid w:val="001D7FE9"/>
    <w:rsid w:val="0020401E"/>
    <w:rsid w:val="002B4505"/>
    <w:rsid w:val="00345CAD"/>
    <w:rsid w:val="00356FFF"/>
    <w:rsid w:val="003D0EA2"/>
    <w:rsid w:val="003E6600"/>
    <w:rsid w:val="00400C6E"/>
    <w:rsid w:val="00463C7A"/>
    <w:rsid w:val="00475130"/>
    <w:rsid w:val="00491B9C"/>
    <w:rsid w:val="005025C8"/>
    <w:rsid w:val="00503594"/>
    <w:rsid w:val="005437DD"/>
    <w:rsid w:val="005D7DCD"/>
    <w:rsid w:val="0062765E"/>
    <w:rsid w:val="00640A25"/>
    <w:rsid w:val="007274B6"/>
    <w:rsid w:val="0076201C"/>
    <w:rsid w:val="00852295"/>
    <w:rsid w:val="008647F4"/>
    <w:rsid w:val="008745B3"/>
    <w:rsid w:val="008D22A0"/>
    <w:rsid w:val="008F6FF3"/>
    <w:rsid w:val="0092485A"/>
    <w:rsid w:val="0098082B"/>
    <w:rsid w:val="009821EE"/>
    <w:rsid w:val="009F256E"/>
    <w:rsid w:val="00A0674C"/>
    <w:rsid w:val="00A50321"/>
    <w:rsid w:val="00A80501"/>
    <w:rsid w:val="00AE423B"/>
    <w:rsid w:val="00AF0369"/>
    <w:rsid w:val="00AF49B0"/>
    <w:rsid w:val="00AF4B73"/>
    <w:rsid w:val="00B036B3"/>
    <w:rsid w:val="00B237E9"/>
    <w:rsid w:val="00BB30E4"/>
    <w:rsid w:val="00C02C28"/>
    <w:rsid w:val="00C17ABA"/>
    <w:rsid w:val="00C434B7"/>
    <w:rsid w:val="00C97EA0"/>
    <w:rsid w:val="00D000AB"/>
    <w:rsid w:val="00D4507D"/>
    <w:rsid w:val="00DA0FAF"/>
    <w:rsid w:val="00DB452B"/>
    <w:rsid w:val="00DC29D3"/>
    <w:rsid w:val="00DF067D"/>
    <w:rsid w:val="00E80E9C"/>
    <w:rsid w:val="00E90ED7"/>
    <w:rsid w:val="00E925A5"/>
    <w:rsid w:val="00E94F83"/>
    <w:rsid w:val="00EC333D"/>
    <w:rsid w:val="00EE71F4"/>
    <w:rsid w:val="00FA1327"/>
    <w:rsid w:val="00FB0311"/>
    <w:rsid w:val="00FB4E28"/>
    <w:rsid w:val="00FD34D3"/>
    <w:rsid w:val="00FE2574"/>
    <w:rsid w:val="00FE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E"/>
    <w:pPr>
      <w:suppressAutoHyphens/>
      <w:spacing w:after="160" w:line="252" w:lineRule="auto"/>
      <w:jc w:val="left"/>
    </w:pPr>
    <w:rPr>
      <w:rFonts w:asciiTheme="minorHAnsi" w:hAnsiTheme="minorHAnsi" w:cstheme="minorBid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40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39"/>
    <w:rsid w:val="0020401E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594"/>
    <w:rPr>
      <w:rFonts w:asciiTheme="minorHAnsi" w:hAnsiTheme="minorHAnsi" w:cstheme="minorBidi"/>
      <w:color w:val="00000A"/>
      <w:sz w:val="22"/>
    </w:rPr>
  </w:style>
  <w:style w:type="paragraph" w:styleId="a8">
    <w:name w:val="footer"/>
    <w:basedOn w:val="a"/>
    <w:link w:val="a9"/>
    <w:uiPriority w:val="99"/>
    <w:unhideWhenUsed/>
    <w:rsid w:val="005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594"/>
    <w:rPr>
      <w:rFonts w:asciiTheme="minorHAnsi" w:hAnsiTheme="minorHAnsi" w:cstheme="minorBidi"/>
      <w:color w:val="00000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C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D3"/>
    <w:rPr>
      <w:rFonts w:ascii="Segoe UI" w:hAnsi="Segoe UI" w:cs="Segoe UI"/>
      <w:color w:val="00000A"/>
      <w:sz w:val="18"/>
      <w:szCs w:val="18"/>
    </w:rPr>
  </w:style>
  <w:style w:type="character" w:styleId="ac">
    <w:name w:val="Strong"/>
    <w:basedOn w:val="a0"/>
    <w:uiPriority w:val="22"/>
    <w:qFormat/>
    <w:rsid w:val="003D0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Сдобникова Маргарита Юрьевна</dc:creator>
  <cp:lastModifiedBy>user33-10</cp:lastModifiedBy>
  <cp:revision>42</cp:revision>
  <cp:lastPrinted>2020-11-09T08:50:00Z</cp:lastPrinted>
  <dcterms:created xsi:type="dcterms:W3CDTF">2020-09-28T11:22:00Z</dcterms:created>
  <dcterms:modified xsi:type="dcterms:W3CDTF">2020-11-26T08:18:00Z</dcterms:modified>
</cp:coreProperties>
</file>